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-72.0" w:type="dxa"/>
        <w:tblLayout w:type="fixed"/>
        <w:tblLook w:val="0000"/>
      </w:tblPr>
      <w:tblGrid>
        <w:gridCol w:w="1985"/>
        <w:gridCol w:w="6095"/>
        <w:gridCol w:w="1769"/>
        <w:tblGridChange w:id="0">
          <w:tblGrid>
            <w:gridCol w:w="1985"/>
            <w:gridCol w:w="6095"/>
            <w:gridCol w:w="176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Book Antiqua" w:cs="Book Antiqua" w:eastAsia="Book Antiqua" w:hAnsi="Book Antiqu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5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Book Antiqua" w:cs="Book Antiqua" w:eastAsia="Book Antiqua" w:hAnsi="Book Antiqu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Book Antiqua" w:cs="Book Antiqua" w:eastAsia="Book Antiqua" w:hAnsi="Book Antiqu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Book Antiqua" w:cs="Book Antiqua" w:eastAsia="Book Antiqua" w:hAnsi="Book Antiqua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ind w:left="-68" w:right="-57"/>
              <w:jc w:val="center"/>
              <w:rPr>
                <w:rFonts w:ascii="Book Antiqua" w:cs="Book Antiqua" w:eastAsia="Book Antiqua" w:hAnsi="Book Antiqua"/>
                <w:b w:val="1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36"/>
                <w:szCs w:val="36"/>
                <w:rtl w:val="0"/>
              </w:rPr>
              <w:t xml:space="preserve">Liceo Classico Musicale Scientifico</w:t>
            </w:r>
          </w:p>
          <w:p w:rsidR="00000000" w:rsidDel="00000000" w:rsidP="00000000" w:rsidRDefault="00000000" w:rsidRPr="00000000" w14:paraId="00000007">
            <w:pPr>
              <w:ind w:left="-68" w:right="-57"/>
              <w:jc w:val="center"/>
              <w:rPr>
                <w:rFonts w:ascii="Book Antiqua" w:cs="Book Antiqua" w:eastAsia="Book Antiqua" w:hAnsi="Book Antiqu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36"/>
                <w:szCs w:val="36"/>
                <w:rtl w:val="0"/>
              </w:rPr>
              <w:t xml:space="preserve">“Isaac NEWTON”</w:t>
            </w:r>
          </w:p>
          <w:p w:rsidR="00000000" w:rsidDel="00000000" w:rsidP="00000000" w:rsidRDefault="00000000" w:rsidRPr="00000000" w14:paraId="00000008">
            <w:pPr>
              <w:ind w:left="-68" w:right="-57"/>
              <w:jc w:val="center"/>
              <w:rPr>
                <w:rFonts w:ascii="Book Antiqua" w:cs="Book Antiqua" w:eastAsia="Book Antiqua" w:hAnsi="Book Antiqua"/>
                <w:sz w:val="32"/>
                <w:szCs w:val="3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32"/>
                <w:szCs w:val="32"/>
                <w:rtl w:val="0"/>
              </w:rPr>
              <w:t xml:space="preserve">via Paleologi 22 - Chivasso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Mod. D11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Book Antiqua" w:cs="Book Antiqua" w:eastAsia="Book Antiqua" w:hAnsi="Book Antiqua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8"/>
                <w:szCs w:val="28"/>
                <w:rtl w:val="0"/>
              </w:rPr>
              <w:t xml:space="preserve">Rev. 0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Book Antiqua" w:cs="Book Antiqua" w:eastAsia="Book Antiqua" w:hAnsi="Book Antiqua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23.05.2017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Layout w:type="fixed"/>
        <w:tblLook w:val="04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right"/>
              <w:rPr>
                <w:rFonts w:ascii="Book Antiqua" w:cs="Book Antiqua" w:eastAsia="Book Antiqua" w:hAnsi="Book Antiqua"/>
                <w:color w:val="1f497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1f497d"/>
                <w:sz w:val="32"/>
                <w:szCs w:val="32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Book Antiqua" w:cs="Book Antiqua" w:eastAsia="Book Antiqua" w:hAnsi="Book Antiqu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32"/>
                <w:szCs w:val="32"/>
                <w:rtl w:val="0"/>
              </w:rPr>
              <w:t xml:space="preserve">OBIETTIVI MINIMI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0.0" w:type="dxa"/>
        <w:tblLayout w:type="fixed"/>
        <w:tblLook w:val="04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right"/>
              <w:rPr>
                <w:rFonts w:ascii="Book Antiqua" w:cs="Book Antiqua" w:eastAsia="Book Antiqua" w:hAnsi="Book Antiqua"/>
                <w:color w:val="1f497d"/>
                <w:sz w:val="32"/>
                <w:szCs w:val="3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1f497d"/>
                <w:sz w:val="32"/>
                <w:szCs w:val="32"/>
                <w:rtl w:val="0"/>
              </w:rPr>
              <w:t xml:space="preserve">Dipartimento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Book Antiqua" w:cs="Book Antiqua" w:eastAsia="Book Antiqua" w:hAnsi="Book Antiqu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32"/>
                <w:szCs w:val="32"/>
                <w:rtl w:val="0"/>
              </w:rPr>
              <w:t xml:space="preserve">Matematica e Fisica </w:t>
            </w:r>
          </w:p>
        </w:tc>
      </w:tr>
      <w:tr>
        <w:trPr>
          <w:trHeight w:val="6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right"/>
              <w:rPr>
                <w:rFonts w:ascii="Book Antiqua" w:cs="Book Antiqua" w:eastAsia="Book Antiqua" w:hAnsi="Book Antiqua"/>
                <w:color w:val="1f497d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1f497d"/>
                <w:sz w:val="32"/>
                <w:szCs w:val="32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Book Antiqua" w:cs="Book Antiqua" w:eastAsia="Book Antiqua" w:hAnsi="Book Antiqu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32"/>
                <w:szCs w:val="32"/>
                <w:rtl w:val="0"/>
              </w:rPr>
              <w:t xml:space="preserve">MATEMATICA </w:t>
            </w:r>
          </w:p>
        </w:tc>
      </w:tr>
      <w:tr>
        <w:trPr>
          <w:trHeight w:val="6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right"/>
              <w:rPr>
                <w:rFonts w:ascii="Book Antiqua" w:cs="Book Antiqua" w:eastAsia="Book Antiqua" w:hAnsi="Book Antiqua"/>
                <w:color w:val="1f497d"/>
                <w:sz w:val="32"/>
                <w:szCs w:val="3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1f497d"/>
                <w:sz w:val="32"/>
                <w:szCs w:val="32"/>
                <w:rtl w:val="0"/>
              </w:rPr>
              <w:t xml:space="preserve">Anno scolastico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Book Antiqua" w:cs="Book Antiqua" w:eastAsia="Book Antiqua" w:hAnsi="Book Antiqu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32"/>
                <w:szCs w:val="32"/>
                <w:rtl w:val="0"/>
              </w:rPr>
              <w:t xml:space="preserve">2018 - 2019</w:t>
            </w:r>
          </w:p>
        </w:tc>
      </w:tr>
      <w:tr>
        <w:trPr>
          <w:trHeight w:val="60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right"/>
              <w:rPr>
                <w:rFonts w:ascii="Book Antiqua" w:cs="Book Antiqua" w:eastAsia="Book Antiqua" w:hAnsi="Book Antiqua"/>
                <w:color w:val="1f497d"/>
                <w:sz w:val="32"/>
                <w:szCs w:val="3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1f497d"/>
                <w:sz w:val="32"/>
                <w:szCs w:val="32"/>
                <w:rtl w:val="0"/>
              </w:rPr>
              <w:t xml:space="preserve">Classe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Book Antiqua" w:cs="Book Antiqua" w:eastAsia="Book Antiqua" w:hAnsi="Book Antiqua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32"/>
                <w:szCs w:val="32"/>
                <w:rtl w:val="0"/>
              </w:rPr>
              <w:t xml:space="preserve">Prima Liceo Musicale</w:t>
            </w:r>
          </w:p>
        </w:tc>
      </w:tr>
    </w:tbl>
    <w:p w:rsidR="00000000" w:rsidDel="00000000" w:rsidP="00000000" w:rsidRDefault="00000000" w:rsidRPr="00000000" w14:paraId="0000001B">
      <w:pPr>
        <w:pStyle w:val="Title"/>
        <w:jc w:val="left"/>
        <w:rPr>
          <w:rFonts w:ascii="Book Antiqua" w:cs="Book Antiqua" w:eastAsia="Book Antiqua" w:hAnsi="Book Antiqua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Title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OBIETTIVI MINIMI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COMPETENZA 1: Utilizzare le tecniche e le procedure del calcolo aritmetico ed algebrico, rappresentandole anche sotto forma grafica.</w:t>
      </w:r>
    </w:p>
    <w:tbl>
      <w:tblPr>
        <w:tblStyle w:val="Table4"/>
        <w:tblW w:w="99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4"/>
        <w:gridCol w:w="2422"/>
        <w:gridCol w:w="5207"/>
        <w:tblGridChange w:id="0">
          <w:tblGrid>
            <w:gridCol w:w="2294"/>
            <w:gridCol w:w="2422"/>
            <w:gridCol w:w="52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Nucleo tematico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Finalità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Obiettivi specifici di apprendimento (minimi)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Calcolo numerico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60" w:before="60" w:lineRule="auto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Gli insiemi N, Z e Q: operazioni interne e relative proprietà;</w:t>
            </w:r>
          </w:p>
          <w:p w:rsidR="00000000" w:rsidDel="00000000" w:rsidP="00000000" w:rsidRDefault="00000000" w:rsidRPr="00000000" w14:paraId="00000024">
            <w:pPr>
              <w:spacing w:after="60" w:before="60" w:lineRule="auto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Numeri decimali; frazioni generatrici; </w:t>
            </w:r>
          </w:p>
          <w:p w:rsidR="00000000" w:rsidDel="00000000" w:rsidP="00000000" w:rsidRDefault="00000000" w:rsidRPr="00000000" w14:paraId="00000025">
            <w:pPr>
              <w:spacing w:after="60" w:before="60" w:lineRule="auto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Potenze e relative proprietà; potenze ad esponente negativo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before="60" w:lineRule="auto"/>
              <w:ind w:left="204" w:hanging="142"/>
              <w:rPr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Individuare l’insieme numerico a cui appartiene un numero: Naturali, Interi, Razionali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Sviluppare le operazioni in Q (addizione, sottrazione, moltiplicazione, divisione a base razionale ed esponente intero), indicando il ruolo degli elementi neutri, dell’opposto, del reciproco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Riconoscere numeri primi e fattorizzare numeri composti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Utilizzare multipli, divisori per calcolare MCD e mcm nei Naturali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Conoscere e utilizzare le proprietà delle potenze per sviluppare espressioni (obiettivo minimo se le espressioni sono semplici)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Rappresentare le frazioni sulla retta orientata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Trasformare un numero frazionario in percentuale e in decimale e viceversa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206" w:hanging="141"/>
              <w:rPr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Risolvere semplici problemi con il calcolo percentuale </w:t>
            </w:r>
          </w:p>
          <w:p w:rsidR="00000000" w:rsidDel="00000000" w:rsidP="00000000" w:rsidRDefault="00000000" w:rsidRPr="00000000" w14:paraId="0000002E">
            <w:pPr>
              <w:spacing w:after="60" w:lineRule="auto"/>
              <w:rPr>
                <w:rFonts w:ascii="Book Antiqua" w:cs="Book Antiqua" w:eastAsia="Book Antiqua" w:hAnsi="Book Antiqua"/>
                <w:i w:val="1"/>
                <w:color w:val="3366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Calcolo letterale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60" w:before="60" w:lineRule="auto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Definizione di monomio; operazioni fra monomi; MCD e mcm tra monomi</w:t>
            </w:r>
          </w:p>
          <w:p w:rsidR="00000000" w:rsidDel="00000000" w:rsidP="00000000" w:rsidRDefault="00000000" w:rsidRPr="00000000" w14:paraId="00000031">
            <w:pPr>
              <w:spacing w:after="60" w:before="60" w:lineRule="auto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Definizione di polinomio; grado di un polinomio; polinomi omogenei, ordinati, completi;</w:t>
            </w:r>
          </w:p>
          <w:p w:rsidR="00000000" w:rsidDel="00000000" w:rsidP="00000000" w:rsidRDefault="00000000" w:rsidRPr="00000000" w14:paraId="00000032">
            <w:pPr>
              <w:spacing w:after="60" w:before="60" w:lineRule="auto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prodotti notevoli;</w:t>
            </w:r>
          </w:p>
          <w:p w:rsidR="00000000" w:rsidDel="00000000" w:rsidP="00000000" w:rsidRDefault="00000000" w:rsidRPr="00000000" w14:paraId="00000033">
            <w:pPr>
              <w:spacing w:after="60" w:before="60" w:lineRule="auto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color w:val="000000"/>
                <w:sz w:val="20"/>
                <w:szCs w:val="20"/>
                <w:rtl w:val="0"/>
              </w:rPr>
              <w:t xml:space="preserve">Polinomi riducibili e irriducibili</w:t>
            </w:r>
          </w:p>
          <w:p w:rsidR="00000000" w:rsidDel="00000000" w:rsidP="00000000" w:rsidRDefault="00000000" w:rsidRPr="00000000" w14:paraId="00000034">
            <w:pPr>
              <w:spacing w:after="60" w:before="60" w:lineRule="auto"/>
              <w:rPr>
                <w:rFonts w:ascii="Book Antiqua" w:cs="Book Antiqua" w:eastAsia="Book Antiqua" w:hAnsi="Book Antiqu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0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Stabilire il grado di un monomio</w:t>
            </w:r>
          </w:p>
          <w:p w:rsidR="00000000" w:rsidDel="00000000" w:rsidP="00000000" w:rsidRDefault="00000000" w:rsidRPr="00000000" w14:paraId="00000036">
            <w:pPr>
              <w:ind w:left="206" w:hanging="141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- Operare con monomi; determinare il  MCD e il mcm tra monomi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6" w:right="0" w:hanging="141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Riconoscere polinomi e stabilirne il grado</w:t>
            </w:r>
          </w:p>
          <w:p w:rsidR="00000000" w:rsidDel="00000000" w:rsidP="00000000" w:rsidRDefault="00000000" w:rsidRPr="00000000" w14:paraId="00000038">
            <w:pPr>
              <w:ind w:left="206" w:hanging="141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- Operare sui polinomi (addizione algebrica, moltiplicazione, elevamento a esponente naturale, divisione tra un polinomio e un monomio e tra polinomi)</w:t>
            </w:r>
          </w:p>
          <w:p w:rsidR="00000000" w:rsidDel="00000000" w:rsidP="00000000" w:rsidRDefault="00000000" w:rsidRPr="00000000" w14:paraId="00000039">
            <w:pPr>
              <w:ind w:left="206" w:hanging="141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- Sviluppare i prodotti notevoli (somma per differenza, quadrato di binomio e trinomio, cubo di binomio)</w:t>
            </w:r>
          </w:p>
          <w:p w:rsidR="00000000" w:rsidDel="00000000" w:rsidP="00000000" w:rsidRDefault="00000000" w:rsidRPr="00000000" w14:paraId="0000003A">
            <w:pPr>
              <w:ind w:left="206" w:hanging="141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- Scomporre i polinomi in fattori (raccoglimento a fattor comune totale e parziale, quadrato di un binomio, cubo di un binomio, differenza di quadrati e di cubi, somma di cubi, fattorizzazione di un trinomio di secondo grado) e riconoscere polinomi irriducibili.</w:t>
            </w:r>
          </w:p>
        </w:tc>
      </w:tr>
    </w:tbl>
    <w:p w:rsidR="00000000" w:rsidDel="00000000" w:rsidP="00000000" w:rsidRDefault="00000000" w:rsidRPr="00000000" w14:paraId="0000003B">
      <w:pPr>
        <w:spacing w:after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COMPETENZA 3: Analizzare dati e interpretarli sviluppando deduzioni e ragionamenti sugli stessi anche con l’ausilio di rappresentazioni grafiche, usando consapevolmente gli strumenti di calcolo e le potenzialità offerte da applicazioni specifiche di tipo informatico. </w:t>
      </w:r>
    </w:p>
    <w:tbl>
      <w:tblPr>
        <w:tblStyle w:val="Table5"/>
        <w:tblW w:w="99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4"/>
        <w:gridCol w:w="2422"/>
        <w:gridCol w:w="5207"/>
        <w:tblGridChange w:id="0">
          <w:tblGrid>
            <w:gridCol w:w="2294"/>
            <w:gridCol w:w="2422"/>
            <w:gridCol w:w="520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3F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Nucleo tematico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40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Finalità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41">
            <w:pPr>
              <w:spacing w:after="60" w:before="6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Obiettivi specifici di apprendimento (minimi)</w:t>
            </w:r>
          </w:p>
        </w:tc>
      </w:tr>
      <w:tr>
        <w:trPr>
          <w:trHeight w:val="4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hanging="708"/>
              <w:jc w:val="left"/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Insiemistica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before="60" w:lineRule="auto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Definizione di insieme, rappresentazione di un insieme, sottoinsieme proprio e improprio. Operazioni tra insiemi. Insieme delle parti.</w:t>
            </w:r>
          </w:p>
          <w:p w:rsidR="00000000" w:rsidDel="00000000" w:rsidP="00000000" w:rsidRDefault="00000000" w:rsidRPr="00000000" w14:paraId="00000044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4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gli elementi di un insieme assegnata la proprietà caratteristica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gli insiemi co diagramma di Eulero - Venn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e costruire sottoinsiemi propri e impropri di un insieme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le operazioni fra insiemi (formalmente e graficamente) e conoscere la simbologia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operazioni fra insiemi: unione, intersezione, complementare, differenza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Utilizzare le operazioni per risolvere problemi reali (modello insiemistico) (obiettivo minimo se il problema è risolubile con pochi passaggi)</w:t>
            </w:r>
          </w:p>
        </w:tc>
      </w:tr>
    </w:tbl>
    <w:p w:rsidR="00000000" w:rsidDel="00000000" w:rsidP="00000000" w:rsidRDefault="00000000" w:rsidRPr="00000000" w14:paraId="0000004C">
      <w:pPr>
        <w:spacing w:before="120" w:lineRule="auto"/>
        <w:jc w:val="both"/>
        <w:rPr>
          <w:rFonts w:ascii="Book Antiqua" w:cs="Book Antiqua" w:eastAsia="Book Antiqua" w:hAnsi="Book Antiqu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120" w:lineRule="auto"/>
        <w:jc w:val="both"/>
        <w:rPr>
          <w:rFonts w:ascii="Book Antiqua" w:cs="Book Antiqua" w:eastAsia="Book Antiqua" w:hAnsi="Book Antiqua"/>
          <w:color w:val="0070c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560" w:top="1292" w:left="1134" w:right="1134" w:header="72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Obiettivi minimi</w:t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9690100</wp:posOffset>
              </wp:positionV>
              <wp:extent cx="6130290" cy="4572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05708" y="3761903"/>
                        <a:ext cx="61207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9690100</wp:posOffset>
              </wp:positionV>
              <wp:extent cx="6130290" cy="45720"/>
              <wp:effectExtent b="0" l="0" r="0" t="0"/>
              <wp:wrapSquare wrapText="bothSides" distB="0" distT="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94" w:hanging="360"/>
      </w:pPr>
      <w:rPr>
        <w:rFonts w:ascii="Book Antiqua" w:cs="Book Antiqua" w:eastAsia="Book Antiqua" w:hAnsi="Book Antiqu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1"/>
      <w:szCs w:val="21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9"/>
      <w:szCs w:val="19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